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6"/>
      </w:tblGrid>
      <w:tr w:rsidR="00674E8B" w:rsidRPr="00C31DB0" w:rsidTr="00F24A33">
        <w:tc>
          <w:tcPr>
            <w:tcW w:w="9286" w:type="dxa"/>
            <w:tcBorders>
              <w:top w:val="nil"/>
              <w:left w:val="nil"/>
              <w:bottom w:val="nil"/>
              <w:right w:val="nil"/>
            </w:tcBorders>
            <w:shd w:val="clear" w:color="auto" w:fill="C0C0C0"/>
          </w:tcPr>
          <w:p w:rsidR="00674E8B" w:rsidRPr="00C31DB0" w:rsidRDefault="00674E8B" w:rsidP="00F24A33">
            <w:pPr>
              <w:pStyle w:val="Header"/>
              <w:jc w:val="center"/>
              <w:rPr>
                <w:b/>
                <w:bCs/>
              </w:rPr>
            </w:pPr>
            <w:bookmarkStart w:id="0" w:name="_GoBack"/>
            <w:bookmarkEnd w:id="0"/>
            <w:r w:rsidRPr="00C31DB0">
              <w:rPr>
                <w:b/>
                <w:bCs/>
              </w:rPr>
              <w:t>ΔΙΑΔΙΚΑΣΙΑ ΓΙΑ ΤΗΝ ΠΩΛΗΣΗ ΚΙΝΗΤΩΝ ΕΠΙΣΗΜΑΤΩΝ (ΧΑΡΤΟΣΗΜΩΝ) ΑΠΟ ΤΟ ΧΑΚ</w:t>
            </w:r>
          </w:p>
          <w:p w:rsidR="00674E8B" w:rsidRPr="00C31DB0" w:rsidRDefault="00674E8B" w:rsidP="00F24A33">
            <w:pPr>
              <w:pStyle w:val="Header"/>
              <w:jc w:val="center"/>
            </w:pPr>
          </w:p>
        </w:tc>
      </w:tr>
    </w:tbl>
    <w:p w:rsidR="00674E8B" w:rsidRPr="00C31DB0" w:rsidRDefault="00674E8B" w:rsidP="00674E8B">
      <w:pPr>
        <w:pStyle w:val="Header"/>
        <w:ind w:left="240" w:right="-15" w:hanging="240"/>
        <w:jc w:val="both"/>
      </w:pPr>
    </w:p>
    <w:p w:rsidR="00674E8B" w:rsidRPr="00C31DB0" w:rsidRDefault="00674E8B" w:rsidP="00674E8B">
      <w:pPr>
        <w:spacing w:before="120" w:after="120"/>
        <w:jc w:val="both"/>
      </w:pPr>
      <w:r w:rsidRPr="00C31DB0">
        <w:t>Το Χρηματιστήριο Αξιών Κύπρου στα πλαίσια της διαρκούς προσπάθειας του για την προσφορά ενός διευρυμένου πλαισίου  προϊόντων και υπηρεσιών προς τους επενδυτές και τους συντελεστές  της Αγοράς ευρύτερα, έχει εισαγάγει μεταξύ άλλων πρωτοβουλιών του, την υπηρεσία πώλησης κινητών επισημάτων (χαρτοσήμων).</w:t>
      </w:r>
    </w:p>
    <w:p w:rsidR="00674E8B" w:rsidRPr="00C31DB0" w:rsidRDefault="00674E8B" w:rsidP="00674E8B">
      <w:pPr>
        <w:spacing w:before="120" w:after="120"/>
        <w:jc w:val="both"/>
      </w:pPr>
      <w:r w:rsidRPr="00C31DB0">
        <w:t>Το Τμήμα Εσωτερικών Προσόδων έχει διορίσει και επίσημα το ΧΑΚ από την 1η Νοεμβρίου ως αντιπρόσωπο πώλησης χαρτοσήμων Σύμφωνα με τον περί Χαρτοσήμων Νόμο (άρθρο 4) κάθε έγγραφο θα  υπόκειται σε χαρτοσήμανση, εφ’ όσον αυτό αφορά οποιοδήποτε περιουσιακό στοιχείο που βρίσκεται στην Κυπριακή Δημοκρατία ή σε οποιαδήποτε ζητήματα ή πράγματα τα οποία θα γίνουν στην Κυπριακή Δημοκρατία, ανεξάρτητα από τον τόπο σύνταξης τους.</w:t>
      </w:r>
      <w:r w:rsidR="00F07A70" w:rsidRPr="00F07A70">
        <w:t xml:space="preserve"> </w:t>
      </w:r>
      <w:r w:rsidR="00F07A70">
        <w:t xml:space="preserve">Η χαρτοσήμανση συμβολαίων από την Υπηρεσία του Χρηματιστηρίου Αξιών Κύπρου, πραγματοποιείται μόνο για συμβόλαια που σχετίζονται με Μέλη και Εκδότριες του ΧΑΚ.  </w:t>
      </w:r>
      <w:r w:rsidRPr="00C31DB0">
        <w:t xml:space="preserve">  </w:t>
      </w:r>
    </w:p>
    <w:p w:rsidR="00674E8B" w:rsidRPr="00C31DB0" w:rsidRDefault="00674E8B" w:rsidP="00674E8B">
      <w:pPr>
        <w:spacing w:before="120" w:after="120"/>
        <w:jc w:val="both"/>
      </w:pPr>
      <w:r w:rsidRPr="00C31DB0">
        <w:t>Μη χαρτοσημασμένα έγγραφα δεν γίνονται δεκτά ως αποδεικτικά στοιχεία.</w:t>
      </w:r>
    </w:p>
    <w:p w:rsidR="00674E8B" w:rsidRPr="00C31DB0" w:rsidRDefault="00674E8B" w:rsidP="00674E8B">
      <w:pPr>
        <w:spacing w:before="120" w:after="120"/>
        <w:jc w:val="both"/>
      </w:pPr>
      <w:r w:rsidRPr="00C31DB0">
        <w:t>Παρατίθεται πιο κάτω συνοπτικά η διαδικασία παραλαβής και πώλησης κινητών επισημάτων (χαρτοσήμων).</w:t>
      </w:r>
    </w:p>
    <w:p w:rsidR="00674E8B" w:rsidRPr="00C31DB0" w:rsidRDefault="00674E8B" w:rsidP="00674E8B">
      <w:pPr>
        <w:numPr>
          <w:ilvl w:val="1"/>
          <w:numId w:val="1"/>
        </w:numPr>
        <w:tabs>
          <w:tab w:val="clear" w:pos="1500"/>
          <w:tab w:val="num" w:pos="540"/>
        </w:tabs>
        <w:spacing w:before="120" w:after="120"/>
        <w:ind w:left="540" w:hanging="540"/>
        <w:jc w:val="both"/>
      </w:pPr>
      <w:r w:rsidRPr="00C31DB0">
        <w:t>Σφραγίδα εγγράφου.  Κάθε έγγραφο που παραλαμβάνεται με σκοπό τη χαρτοσήμανση του, σφραγίζεται στο χώρο υποδοχής του ΧΑΚ</w:t>
      </w:r>
    </w:p>
    <w:p w:rsidR="00674E8B" w:rsidRPr="00C31DB0" w:rsidRDefault="00674E8B" w:rsidP="00674E8B">
      <w:pPr>
        <w:numPr>
          <w:ilvl w:val="1"/>
          <w:numId w:val="1"/>
        </w:numPr>
        <w:tabs>
          <w:tab w:val="clear" w:pos="1500"/>
          <w:tab w:val="num" w:pos="540"/>
        </w:tabs>
        <w:spacing w:before="120" w:after="120"/>
        <w:ind w:left="540" w:hanging="540"/>
        <w:jc w:val="both"/>
      </w:pPr>
      <w:r w:rsidRPr="00C31DB0">
        <w:rPr>
          <w:lang w:val="en-GB"/>
        </w:rPr>
        <w:t>A</w:t>
      </w:r>
      <w:r w:rsidRPr="00C31DB0">
        <w:t>κολουθεί έλεγχος εγγράφου και υπολογισμού του ποσού από το ΧΑΚ.</w:t>
      </w:r>
    </w:p>
    <w:p w:rsidR="00674E8B" w:rsidRPr="00C31DB0" w:rsidRDefault="00674E8B" w:rsidP="00674E8B">
      <w:pPr>
        <w:numPr>
          <w:ilvl w:val="1"/>
          <w:numId w:val="1"/>
        </w:numPr>
        <w:tabs>
          <w:tab w:val="clear" w:pos="1500"/>
          <w:tab w:val="num" w:pos="540"/>
        </w:tabs>
        <w:spacing w:before="120" w:after="120"/>
        <w:ind w:left="540" w:hanging="540"/>
        <w:jc w:val="both"/>
      </w:pPr>
      <w:r w:rsidRPr="00C31DB0">
        <w:rPr>
          <w:lang w:val="en-GB"/>
        </w:rPr>
        <w:t>E</w:t>
      </w:r>
      <w:r w:rsidRPr="00C31DB0">
        <w:t>κδίδεται απόδειξη πληρωμής, εφ’ όσον παραλειφθεί το ποσό που αντιστοιχεί στο σύνολο του ποσού του συμβολαίου.</w:t>
      </w:r>
    </w:p>
    <w:p w:rsidR="00674E8B" w:rsidRPr="00C31DB0" w:rsidRDefault="00674E8B" w:rsidP="00674E8B">
      <w:pPr>
        <w:jc w:val="both"/>
        <w:rPr>
          <w:b/>
          <w:bCs/>
        </w:rPr>
      </w:pPr>
      <w:r w:rsidRPr="00C31DB0">
        <w:rPr>
          <w:b/>
          <w:bCs/>
          <w:u w:val="single"/>
        </w:rPr>
        <w:t>Χρεώσεις</w:t>
      </w:r>
      <w:r w:rsidRPr="00C31DB0">
        <w:rPr>
          <w:b/>
          <w:bCs/>
        </w:rPr>
        <w:t>:</w:t>
      </w:r>
    </w:p>
    <w:p w:rsidR="00674E8B" w:rsidRPr="00C31DB0" w:rsidRDefault="00674E8B" w:rsidP="00674E8B">
      <w:pPr>
        <w:numPr>
          <w:ilvl w:val="0"/>
          <w:numId w:val="2"/>
        </w:numPr>
        <w:spacing w:before="120" w:after="120"/>
        <w:jc w:val="both"/>
      </w:pPr>
      <w:r w:rsidRPr="00C31DB0">
        <w:t xml:space="preserve">Η χρέωση για σύμβαση ή μνημόνιο σύμβασης κι’ όλα τα έγγραφα που ενσωματώνουν σύμβαση στα οποία δεν συνομολογείται καθορισμένο ποσό και για τη σήμανση των οποίων δεν λαμβάνεται οποιαδήποτε </w:t>
      </w:r>
      <w:r w:rsidRPr="00C31DB0">
        <w:tab/>
        <w:t>άλλη πρόνοια ή χρέωση, ανέρχεται στα €35,00. Τόσο τα εγγυητήρια γραμμάτια ή χρεόγραφα όσο και οι μισθώσεις, χαρτοσημαίνονται με τους ίδιους συντελεστές, όπως ισχύει και στις συμβάσεις.</w:t>
      </w:r>
    </w:p>
    <w:p w:rsidR="00674E8B" w:rsidRPr="00C31DB0" w:rsidRDefault="00674E8B" w:rsidP="00674E8B">
      <w:pPr>
        <w:numPr>
          <w:ilvl w:val="0"/>
          <w:numId w:val="2"/>
        </w:numPr>
        <w:spacing w:before="120" w:after="120"/>
        <w:jc w:val="both"/>
      </w:pPr>
      <w:r w:rsidRPr="00C31DB0">
        <w:t>Οι χρεώσεις σχετικά με τις συμβάσεις ή για μνημόνιο σύμβασης κι’ όλα τα σχετικά έγγραφα που ενσωματώνονται σε μια σύμβαση συνομολογούν καθορισμένο ποσό σύμφωνα με τον «Περί Χαρτοσήμων Νόμο του 1963 Αρ.218) Κανονισμοί γενομένοι βάσει των διατάξεων των άρθρων 60 και 62.»</w:t>
      </w:r>
    </w:p>
    <w:p w:rsidR="00674E8B" w:rsidRPr="00C31DB0" w:rsidRDefault="00674E8B" w:rsidP="00674E8B">
      <w:pPr>
        <w:numPr>
          <w:ilvl w:val="0"/>
          <w:numId w:val="2"/>
        </w:numPr>
        <w:spacing w:before="120" w:after="120"/>
        <w:jc w:val="both"/>
      </w:pPr>
      <w:r w:rsidRPr="00C31DB0">
        <w:t>Απαλλάσσονται από το τέλος χαρτοσήμου οποιεσδήποτε συναλλαγές στα πλαίσια αναδιοργάνωσης εταιρειών.</w:t>
      </w:r>
    </w:p>
    <w:p w:rsidR="00674E8B" w:rsidRPr="00C31DB0" w:rsidRDefault="00674E8B" w:rsidP="00674E8B">
      <w:pPr>
        <w:spacing w:before="120" w:after="120"/>
        <w:rPr>
          <w:b/>
        </w:rPr>
      </w:pPr>
      <w:r w:rsidRPr="00C31DB0">
        <w:rPr>
          <w:b/>
        </w:rPr>
        <w:t>Συγκεκριμένα ισχύουν οι πιο κάτω χρεώσεις:</w:t>
      </w:r>
    </w:p>
    <w:p w:rsidR="00674E8B" w:rsidRPr="00C31DB0" w:rsidRDefault="00674E8B" w:rsidP="00674E8B">
      <w:pPr>
        <w:spacing w:before="120" w:after="120"/>
        <w:jc w:val="both"/>
      </w:pPr>
      <w:r w:rsidRPr="00C31DB0">
        <w:t xml:space="preserve">Σε περίπτωση όπου η χαρτοσήμανση πραγματοποιείται πέραν των 30 ημερών από την </w:t>
      </w:r>
      <w:r w:rsidR="00BF0814" w:rsidRPr="00C31DB0">
        <w:t>έκδοση</w:t>
      </w:r>
      <w:r w:rsidRPr="00C31DB0">
        <w:t xml:space="preserve"> του εγγράφου, επιβάλλεται πρόστιμο σύμφωνα με τις πρόνοιες του άρθρου 20 του Νόμου περί Χαρτοσήμανσης και το πρόστιμο επιβάλλεται από Λειτουργό του Εφόρου Τελών Χαρτοσήμων. </w:t>
      </w:r>
    </w:p>
    <w:p w:rsidR="00674E8B" w:rsidRPr="00C31DB0" w:rsidRDefault="00674E8B" w:rsidP="00674E8B">
      <w:pPr>
        <w:spacing w:before="120" w:after="120"/>
      </w:pPr>
    </w:p>
    <w:p w:rsidR="00674E8B" w:rsidRPr="00C31DB0" w:rsidRDefault="00674E8B" w:rsidP="00674E8B">
      <w:pPr>
        <w:spacing w:before="120" w:after="120"/>
      </w:pPr>
      <w:r w:rsidRPr="00C31DB0">
        <w:lastRenderedPageBreak/>
        <w:br/>
      </w:r>
    </w:p>
    <w:p w:rsidR="00674E8B" w:rsidRPr="00C31DB0" w:rsidRDefault="00674E8B" w:rsidP="00674E8B">
      <w:pPr>
        <w:spacing w:before="120" w:after="120"/>
      </w:pPr>
    </w:p>
    <w:p w:rsidR="00674E8B" w:rsidRPr="00C31DB0" w:rsidRDefault="00674E8B" w:rsidP="00674E8B">
      <w:r w:rsidRPr="00C31DB0">
        <w:rPr>
          <w:b/>
        </w:rPr>
        <w:t>Είδη εγγράφων τα οποία υπόκεινται σε χαρτοσήμανση</w:t>
      </w:r>
      <w:r w:rsidRPr="00C31DB0">
        <w:t>:</w:t>
      </w:r>
    </w:p>
    <w:p w:rsidR="00674E8B" w:rsidRPr="00C31DB0" w:rsidRDefault="00674E8B" w:rsidP="00674E8B">
      <w:pPr>
        <w:rPr>
          <w:b/>
          <w:bCs/>
        </w:rPr>
      </w:pPr>
    </w:p>
    <w:p w:rsidR="00674E8B" w:rsidRPr="00C31DB0" w:rsidRDefault="00674E8B" w:rsidP="00674E8B">
      <w:pPr>
        <w:rPr>
          <w:b/>
          <w:bCs/>
          <w:u w:val="single"/>
        </w:rPr>
      </w:pPr>
      <w:r w:rsidRPr="00C31DB0">
        <w:rPr>
          <w:b/>
          <w:bCs/>
          <w:u w:val="single"/>
        </w:rPr>
        <w:t>Είδος Εγγράφου</w:t>
      </w:r>
      <w:r w:rsidRPr="00C31DB0">
        <w:rPr>
          <w:b/>
          <w:bCs/>
        </w:rPr>
        <w:tab/>
      </w:r>
      <w:r w:rsidRPr="00C31DB0">
        <w:rPr>
          <w:b/>
          <w:bCs/>
        </w:rPr>
        <w:tab/>
      </w:r>
      <w:r w:rsidRPr="00C31DB0">
        <w:rPr>
          <w:b/>
          <w:bCs/>
        </w:rPr>
        <w:tab/>
      </w:r>
      <w:r w:rsidRPr="00C31DB0">
        <w:rPr>
          <w:b/>
          <w:bCs/>
        </w:rPr>
        <w:tab/>
      </w:r>
      <w:r w:rsidRPr="00C31DB0">
        <w:rPr>
          <w:b/>
          <w:bCs/>
        </w:rPr>
        <w:tab/>
        <w:t xml:space="preserve">                </w:t>
      </w:r>
      <w:r w:rsidRPr="00C31DB0">
        <w:rPr>
          <w:b/>
          <w:bCs/>
          <w:u w:val="single"/>
        </w:rPr>
        <w:t>Τέλος</w:t>
      </w:r>
    </w:p>
    <w:p w:rsidR="00674E8B" w:rsidRPr="00C31DB0" w:rsidRDefault="00674E8B" w:rsidP="00674E8B">
      <w:r w:rsidRPr="00C31DB0">
        <w:t>Εγγυητικές Επιστολές</w:t>
      </w:r>
      <w:r w:rsidRPr="00C31DB0">
        <w:tab/>
      </w:r>
      <w:r w:rsidRPr="00C31DB0">
        <w:tab/>
      </w:r>
      <w:r w:rsidRPr="00C31DB0">
        <w:tab/>
      </w:r>
      <w:r w:rsidRPr="00C31DB0">
        <w:tab/>
      </w:r>
      <w:r w:rsidRPr="00C31DB0">
        <w:tab/>
        <w:t xml:space="preserve">                €3,42</w:t>
      </w:r>
    </w:p>
    <w:p w:rsidR="00674E8B" w:rsidRPr="00C31DB0" w:rsidRDefault="00674E8B" w:rsidP="00674E8B">
      <w:r w:rsidRPr="00C31DB0">
        <w:t>Πιστωτικές Επιστολές</w:t>
      </w:r>
      <w:r w:rsidRPr="00C31DB0">
        <w:tab/>
      </w:r>
      <w:r w:rsidRPr="00C31DB0">
        <w:tab/>
      </w:r>
      <w:r w:rsidRPr="00C31DB0">
        <w:tab/>
      </w:r>
      <w:r w:rsidRPr="00C31DB0">
        <w:tab/>
      </w:r>
      <w:r w:rsidRPr="00C31DB0">
        <w:tab/>
        <w:t xml:space="preserve">                €1,71</w:t>
      </w:r>
    </w:p>
    <w:p w:rsidR="00674E8B" w:rsidRPr="00C31DB0" w:rsidRDefault="00674E8B" w:rsidP="00674E8B">
      <w:r w:rsidRPr="00C31DB0">
        <w:t>Αποδείξεις για ποσά από €3,42-€34,17</w:t>
      </w:r>
      <w:r w:rsidRPr="00C31DB0">
        <w:tab/>
      </w:r>
      <w:r w:rsidRPr="00C31DB0">
        <w:tab/>
        <w:t xml:space="preserve">                €0,03</w:t>
      </w:r>
    </w:p>
    <w:p w:rsidR="00674E8B" w:rsidRPr="00C31DB0" w:rsidRDefault="00674E8B" w:rsidP="00674E8B">
      <w:r w:rsidRPr="00C31DB0">
        <w:t>Αποδείξεις για ποσά πάνω από €34,17</w:t>
      </w:r>
      <w:r w:rsidRPr="00C31DB0">
        <w:tab/>
      </w:r>
      <w:r w:rsidRPr="00C31DB0">
        <w:tab/>
        <w:t xml:space="preserve">                €0,07</w:t>
      </w:r>
    </w:p>
    <w:p w:rsidR="00674E8B" w:rsidRPr="00C31DB0" w:rsidRDefault="00674E8B" w:rsidP="00674E8B">
      <w:r w:rsidRPr="00C31DB0">
        <w:t>Τελωνειακά και δασμολογικά έγγραφα</w:t>
      </w:r>
      <w:r w:rsidRPr="00C31DB0">
        <w:tab/>
      </w:r>
      <w:r w:rsidRPr="00C31DB0">
        <w:tab/>
        <w:t xml:space="preserve">                €17,09/€34,17</w:t>
      </w:r>
    </w:p>
    <w:p w:rsidR="00674E8B" w:rsidRPr="00C31DB0" w:rsidRDefault="00674E8B" w:rsidP="00674E8B">
      <w:r w:rsidRPr="00C31DB0">
        <w:t xml:space="preserve">Φορτωτικές </w:t>
      </w:r>
      <w:r w:rsidRPr="00C31DB0">
        <w:tab/>
      </w:r>
      <w:r w:rsidRPr="00C31DB0">
        <w:tab/>
      </w:r>
      <w:r w:rsidRPr="00C31DB0">
        <w:tab/>
      </w:r>
      <w:r w:rsidRPr="00C31DB0">
        <w:tab/>
      </w:r>
      <w:r w:rsidRPr="00C31DB0">
        <w:tab/>
        <w:t xml:space="preserve"> </w:t>
      </w:r>
      <w:r w:rsidRPr="00C31DB0">
        <w:tab/>
        <w:t xml:space="preserve">                €3,42</w:t>
      </w:r>
    </w:p>
    <w:p w:rsidR="00674E8B" w:rsidRPr="00C31DB0" w:rsidRDefault="00674E8B" w:rsidP="00674E8B">
      <w:r w:rsidRPr="00C31DB0">
        <w:t xml:space="preserve">Συναλλαγματικές (πληρωτέες ενόψει, </w:t>
      </w:r>
    </w:p>
    <w:p w:rsidR="00674E8B" w:rsidRPr="00C31DB0" w:rsidRDefault="00674E8B" w:rsidP="00674E8B">
      <w:r w:rsidRPr="00C31DB0">
        <w:t>σε πρώτη ζήτηση ή σε 3 μέρες</w:t>
      </w:r>
    </w:p>
    <w:p w:rsidR="00674E8B" w:rsidRPr="00C31DB0" w:rsidRDefault="00674E8B" w:rsidP="00674E8B">
      <w:r w:rsidRPr="00C31DB0">
        <w:t>από χρονολογία ή όψη</w:t>
      </w:r>
      <w:r w:rsidRPr="00C31DB0">
        <w:tab/>
      </w:r>
      <w:r w:rsidRPr="00C31DB0">
        <w:tab/>
      </w:r>
      <w:r w:rsidRPr="00C31DB0">
        <w:tab/>
      </w:r>
      <w:r w:rsidRPr="00C31DB0">
        <w:tab/>
        <w:t xml:space="preserve">                €0,85</w:t>
      </w:r>
    </w:p>
    <w:p w:rsidR="00674E8B" w:rsidRPr="00C31DB0" w:rsidRDefault="00674E8B" w:rsidP="00674E8B">
      <w:pPr>
        <w:rPr>
          <w:b/>
          <w:bCs/>
          <w:u w:val="single"/>
        </w:rPr>
      </w:pPr>
    </w:p>
    <w:p w:rsidR="00674E8B" w:rsidRPr="00C31DB0" w:rsidRDefault="00674E8B" w:rsidP="00674E8B">
      <w:pPr>
        <w:rPr>
          <w:b/>
          <w:bCs/>
          <w:u w:val="single"/>
        </w:rPr>
      </w:pPr>
      <w:r w:rsidRPr="00C31DB0">
        <w:rPr>
          <w:b/>
          <w:bCs/>
          <w:u w:val="single"/>
        </w:rPr>
        <w:t>Είδος Εγγράφου</w:t>
      </w:r>
      <w:r w:rsidRPr="00C31DB0">
        <w:rPr>
          <w:b/>
          <w:bCs/>
        </w:rPr>
        <w:tab/>
      </w:r>
      <w:r w:rsidRPr="00C31DB0">
        <w:rPr>
          <w:b/>
          <w:bCs/>
        </w:rPr>
        <w:tab/>
      </w:r>
      <w:r w:rsidRPr="00C31DB0">
        <w:rPr>
          <w:b/>
          <w:bCs/>
        </w:rPr>
        <w:tab/>
      </w:r>
      <w:r w:rsidRPr="00C31DB0">
        <w:rPr>
          <w:b/>
          <w:bCs/>
        </w:rPr>
        <w:tab/>
      </w:r>
      <w:r w:rsidRPr="00C31DB0">
        <w:rPr>
          <w:b/>
          <w:bCs/>
        </w:rPr>
        <w:tab/>
        <w:t xml:space="preserve">              </w:t>
      </w:r>
      <w:r w:rsidRPr="00C31DB0">
        <w:rPr>
          <w:b/>
          <w:bCs/>
          <w:u w:val="single"/>
        </w:rPr>
        <w:t>Τέλος</w:t>
      </w:r>
    </w:p>
    <w:p w:rsidR="00674E8B" w:rsidRPr="00C31DB0" w:rsidRDefault="00674E8B" w:rsidP="00674E8B">
      <w:r w:rsidRPr="00C31DB0">
        <w:t>Ναυλωτικά έγγραφα</w:t>
      </w:r>
      <w:r w:rsidRPr="00C31DB0">
        <w:tab/>
      </w:r>
      <w:r w:rsidRPr="00C31DB0">
        <w:tab/>
      </w:r>
      <w:r w:rsidRPr="00C31DB0">
        <w:tab/>
      </w:r>
      <w:r w:rsidRPr="00C31DB0">
        <w:tab/>
      </w:r>
      <w:r w:rsidRPr="00C31DB0">
        <w:tab/>
        <w:t xml:space="preserve">              €17,09</w:t>
      </w:r>
    </w:p>
    <w:p w:rsidR="00674E8B" w:rsidRPr="00C31DB0" w:rsidRDefault="00674E8B" w:rsidP="00674E8B">
      <w:r w:rsidRPr="00C31DB0">
        <w:t>Γενικά πληρεξούσια</w:t>
      </w:r>
      <w:r w:rsidRPr="00C31DB0">
        <w:tab/>
      </w:r>
      <w:r w:rsidRPr="00C31DB0">
        <w:tab/>
      </w:r>
      <w:r w:rsidRPr="00C31DB0">
        <w:tab/>
      </w:r>
      <w:r w:rsidRPr="00C31DB0">
        <w:tab/>
      </w:r>
      <w:r w:rsidRPr="00C31DB0">
        <w:tab/>
        <w:t xml:space="preserve">              €6,00</w:t>
      </w:r>
    </w:p>
    <w:p w:rsidR="00674E8B" w:rsidRPr="00C31DB0" w:rsidRDefault="00674E8B" w:rsidP="00674E8B">
      <w:r w:rsidRPr="00C31DB0">
        <w:t>Ειδικά πληρεξούσια</w:t>
      </w:r>
      <w:r w:rsidRPr="00C31DB0">
        <w:tab/>
      </w:r>
      <w:r w:rsidRPr="00C31DB0">
        <w:tab/>
      </w:r>
      <w:r w:rsidRPr="00C31DB0">
        <w:tab/>
      </w:r>
      <w:r w:rsidRPr="00C31DB0">
        <w:tab/>
      </w:r>
      <w:r w:rsidRPr="00C31DB0">
        <w:tab/>
        <w:t xml:space="preserve">              €2,00</w:t>
      </w:r>
    </w:p>
    <w:p w:rsidR="00674E8B" w:rsidRPr="00C31DB0" w:rsidRDefault="00674E8B" w:rsidP="00674E8B">
      <w:r w:rsidRPr="00C31DB0">
        <w:t>Πιστοποιημένα αντίγραφα συμβολαίων και εγγράφων</w:t>
      </w:r>
      <w:r w:rsidRPr="00C31DB0">
        <w:tab/>
        <w:t xml:space="preserve">  €2,00</w:t>
      </w:r>
    </w:p>
    <w:p w:rsidR="00674E8B" w:rsidRPr="00C31DB0" w:rsidRDefault="00674E8B" w:rsidP="00674E8B">
      <w:r w:rsidRPr="00C31DB0">
        <w:t>Διαθήκη</w:t>
      </w:r>
      <w:r w:rsidRPr="00C31DB0">
        <w:tab/>
      </w:r>
      <w:r w:rsidRPr="00C31DB0">
        <w:tab/>
      </w:r>
      <w:r w:rsidRPr="00C31DB0">
        <w:tab/>
      </w:r>
      <w:r w:rsidRPr="00C31DB0">
        <w:tab/>
      </w:r>
      <w:r w:rsidRPr="00C31DB0">
        <w:tab/>
      </w:r>
      <w:r w:rsidRPr="00C31DB0">
        <w:tab/>
      </w:r>
      <w:r w:rsidRPr="00C31DB0">
        <w:tab/>
        <w:t xml:space="preserve">  €17,09</w:t>
      </w:r>
    </w:p>
    <w:p w:rsidR="00674E8B" w:rsidRPr="00C31DB0" w:rsidRDefault="00674E8B" w:rsidP="00674E8B">
      <w:r w:rsidRPr="00C31DB0">
        <w:t>Έγγραφο διαχείρισης περιουσίας αποβιώσαντος</w:t>
      </w:r>
      <w:r w:rsidRPr="00C31DB0">
        <w:tab/>
      </w:r>
      <w:r w:rsidRPr="00C31DB0">
        <w:tab/>
        <w:t xml:space="preserve">  €8,54</w:t>
      </w:r>
    </w:p>
    <w:p w:rsidR="00674E8B" w:rsidRPr="00C31DB0" w:rsidRDefault="00674E8B" w:rsidP="00674E8B">
      <w:r w:rsidRPr="00C31DB0">
        <w:t>Συμβόλαια:</w:t>
      </w:r>
    </w:p>
    <w:p w:rsidR="00674E8B" w:rsidRPr="00C31DB0" w:rsidRDefault="00674E8B" w:rsidP="00674E8B">
      <w:r w:rsidRPr="00C31DB0">
        <w:t xml:space="preserve">Για ποσά μέχρι €170.860 </w:t>
      </w:r>
      <w:r w:rsidRPr="00C31DB0">
        <w:tab/>
      </w:r>
      <w:r w:rsidRPr="00C31DB0">
        <w:tab/>
      </w:r>
      <w:r w:rsidRPr="00C31DB0">
        <w:tab/>
      </w:r>
      <w:r w:rsidRPr="00C31DB0">
        <w:tab/>
      </w:r>
      <w:r w:rsidRPr="00C31DB0">
        <w:tab/>
        <w:t xml:space="preserve">  1,5%</w:t>
      </w:r>
    </w:p>
    <w:p w:rsidR="00674E8B" w:rsidRPr="00C31DB0" w:rsidRDefault="00674E8B" w:rsidP="00674E8B">
      <w:r w:rsidRPr="00C31DB0">
        <w:t xml:space="preserve">Για ποσά που υπερβαίνουν τα €170.860              </w:t>
      </w:r>
      <w:r w:rsidRPr="00C31DB0">
        <w:tab/>
      </w:r>
      <w:r w:rsidRPr="00C31DB0">
        <w:tab/>
        <w:t xml:space="preserve">  2 %         </w:t>
      </w:r>
      <w:r w:rsidRPr="00C31DB0">
        <w:tab/>
      </w:r>
      <w:r w:rsidRPr="00C31DB0">
        <w:tab/>
        <w:t xml:space="preserve">             </w:t>
      </w:r>
    </w:p>
    <w:p w:rsidR="00674E8B" w:rsidRPr="00C31DB0" w:rsidRDefault="00674E8B" w:rsidP="00674E8B">
      <w:r w:rsidRPr="00C31DB0">
        <w:t>Πλέον €256,29 (Μέγιστο τέλος €17.086)</w:t>
      </w:r>
    </w:p>
    <w:p w:rsidR="00674E8B" w:rsidRPr="00C31DB0" w:rsidRDefault="00674E8B" w:rsidP="00674E8B">
      <w:pPr>
        <w:rPr>
          <w:b/>
          <w:bCs/>
          <w:u w:val="single"/>
        </w:rPr>
      </w:pPr>
    </w:p>
    <w:p w:rsidR="00674E8B" w:rsidRPr="00C31DB0" w:rsidRDefault="00674E8B" w:rsidP="00674E8B">
      <w:pPr>
        <w:rPr>
          <w:b/>
          <w:bCs/>
          <w:u w:val="single"/>
        </w:rPr>
      </w:pPr>
      <w:r w:rsidRPr="00C31DB0">
        <w:rPr>
          <w:b/>
          <w:bCs/>
          <w:u w:val="single"/>
        </w:rPr>
        <w:t>Είδος Εγγράφου</w:t>
      </w:r>
      <w:r w:rsidRPr="00C31DB0">
        <w:rPr>
          <w:b/>
          <w:bCs/>
        </w:rPr>
        <w:tab/>
      </w:r>
      <w:r w:rsidRPr="00C31DB0">
        <w:rPr>
          <w:b/>
          <w:bCs/>
        </w:rPr>
        <w:tab/>
      </w:r>
      <w:r w:rsidRPr="00C31DB0">
        <w:rPr>
          <w:b/>
          <w:bCs/>
        </w:rPr>
        <w:tab/>
      </w:r>
      <w:r w:rsidRPr="00C31DB0">
        <w:rPr>
          <w:b/>
          <w:bCs/>
        </w:rPr>
        <w:tab/>
      </w:r>
      <w:r w:rsidRPr="00C31DB0">
        <w:rPr>
          <w:b/>
          <w:bCs/>
        </w:rPr>
        <w:tab/>
        <w:t xml:space="preserve">             </w:t>
      </w:r>
      <w:r w:rsidRPr="00C31DB0">
        <w:rPr>
          <w:b/>
          <w:bCs/>
          <w:u w:val="single"/>
        </w:rPr>
        <w:t>Τέλος</w:t>
      </w:r>
    </w:p>
    <w:p w:rsidR="00674E8B" w:rsidRPr="00C31DB0" w:rsidRDefault="00674E8B" w:rsidP="00674E8B">
      <w:r w:rsidRPr="00C31DB0">
        <w:t xml:space="preserve">Χωρίς καθορισμένο ποσό </w:t>
      </w:r>
      <w:r w:rsidRPr="00C31DB0">
        <w:tab/>
      </w:r>
      <w:r w:rsidRPr="00C31DB0">
        <w:tab/>
      </w:r>
      <w:r w:rsidRPr="00C31DB0">
        <w:tab/>
      </w:r>
      <w:r w:rsidRPr="00C31DB0">
        <w:tab/>
        <w:t xml:space="preserve">             €35,00</w:t>
      </w:r>
    </w:p>
    <w:p w:rsidR="00674E8B" w:rsidRPr="00C31DB0" w:rsidRDefault="00674E8B" w:rsidP="00674E8B"/>
    <w:p w:rsidR="00674E8B" w:rsidRPr="00C31DB0" w:rsidRDefault="00674E8B" w:rsidP="00674E8B">
      <w:r w:rsidRPr="00C31DB0">
        <w:t>Έκδοση πιστοποιητικού φορολογικής κατοικίας από το Τ.Ε.Π.     €80,00</w:t>
      </w:r>
    </w:p>
    <w:p w:rsidR="00674E8B" w:rsidRPr="00C31DB0" w:rsidRDefault="00674E8B" w:rsidP="00674E8B">
      <w:r w:rsidRPr="00C31DB0">
        <w:br/>
        <w:t>Για  αξία σύμβασης  €1 μέχρι €5000 η αξία χαρτοσήμου είναι μηδέν.</w:t>
      </w:r>
    </w:p>
    <w:p w:rsidR="00674E8B" w:rsidRPr="00C31DB0" w:rsidRDefault="00674E8B" w:rsidP="00674E8B">
      <w:r w:rsidRPr="00C31DB0">
        <w:t>Για  αξία σύμβασης  €5001  μέχρι €170000  για κάθε ποσό  €1000 ή μέρος των  €1000  η αξία χαρτοσήμου είναι  €1,50.</w:t>
      </w:r>
      <w:r w:rsidRPr="00C31DB0">
        <w:br/>
        <w:t>Για  αξία σύμβασης πέραν των  €170000  για κάθε ποσό  €1000 ή μέρος των  €1000  η αξία χαρτοσήμου είναι  €2,00 με μέγιστο ποσό χαρτοσήμου €20000.</w:t>
      </w:r>
      <w:r w:rsidRPr="00C31DB0">
        <w:br/>
      </w:r>
    </w:p>
    <w:p w:rsidR="00674E8B" w:rsidRPr="00C31DB0" w:rsidRDefault="00674E8B" w:rsidP="00674E8B">
      <w:pPr>
        <w:jc w:val="both"/>
      </w:pPr>
      <w:r w:rsidRPr="00C31DB0">
        <w:t>Η διαδικασία χαρτοσήμανσης από το ΧΑΚ αναλαμβάνεται με άμεση ισχύ και παρέχεται μεταξύ των ωρών 08:00-14:30 και 15:00-18:00 στις εργάσιμες ημέρες λειτουργίας του ΧΑΚ.</w:t>
      </w:r>
    </w:p>
    <w:p w:rsidR="00674E8B" w:rsidRPr="00C31DB0" w:rsidRDefault="00674E8B" w:rsidP="00674E8B">
      <w:pPr>
        <w:jc w:val="both"/>
      </w:pPr>
    </w:p>
    <w:p w:rsidR="00674E8B" w:rsidRPr="00C31DB0" w:rsidRDefault="00674E8B" w:rsidP="00674E8B">
      <w:pPr>
        <w:jc w:val="both"/>
      </w:pPr>
    </w:p>
    <w:p w:rsidR="00674E8B" w:rsidRPr="00C31DB0" w:rsidRDefault="00674E8B" w:rsidP="00674E8B">
      <w:pPr>
        <w:jc w:val="both"/>
      </w:pPr>
    </w:p>
    <w:p w:rsidR="00674E8B" w:rsidRPr="00C31DB0" w:rsidRDefault="00674E8B" w:rsidP="00674E8B">
      <w:pPr>
        <w:jc w:val="both"/>
      </w:pPr>
    </w:p>
    <w:p w:rsidR="00674E8B" w:rsidRPr="00C31DB0" w:rsidRDefault="00674E8B" w:rsidP="00674E8B">
      <w:pPr>
        <w:jc w:val="both"/>
      </w:pPr>
    </w:p>
    <w:p w:rsidR="00674E8B" w:rsidRPr="00C31DB0" w:rsidRDefault="00674E8B" w:rsidP="00674E8B">
      <w:pPr>
        <w:jc w:val="both"/>
      </w:pPr>
    </w:p>
    <w:p w:rsidR="00674E8B" w:rsidRPr="00C31DB0" w:rsidRDefault="00674E8B" w:rsidP="00674E8B">
      <w:pPr>
        <w:jc w:val="both"/>
      </w:pPr>
    </w:p>
    <w:p w:rsidR="00674E8B" w:rsidRPr="00C31DB0" w:rsidRDefault="00674E8B" w:rsidP="00674E8B">
      <w:pPr>
        <w:jc w:val="both"/>
      </w:pPr>
    </w:p>
    <w:p w:rsidR="00674E8B" w:rsidRPr="00C31DB0" w:rsidRDefault="00674E8B" w:rsidP="00674E8B">
      <w:pPr>
        <w:jc w:val="both"/>
      </w:pPr>
    </w:p>
    <w:p w:rsidR="00620D40" w:rsidRPr="00C31DB0" w:rsidRDefault="00620D40"/>
    <w:sectPr w:rsidR="00620D40" w:rsidRPr="00C31D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5B5E86"/>
    <w:multiLevelType w:val="hybridMultilevel"/>
    <w:tmpl w:val="F508FF0C"/>
    <w:lvl w:ilvl="0" w:tplc="08090001">
      <w:start w:val="1"/>
      <w:numFmt w:val="bullet"/>
      <w:lvlText w:val=""/>
      <w:lvlJc w:val="left"/>
      <w:pPr>
        <w:tabs>
          <w:tab w:val="num" w:pos="720"/>
        </w:tabs>
        <w:ind w:left="720" w:hanging="360"/>
      </w:pPr>
      <w:rPr>
        <w:rFonts w:ascii="Symbol" w:hAnsi="Symbol" w:hint="default"/>
      </w:rPr>
    </w:lvl>
    <w:lvl w:ilvl="1" w:tplc="53F8A236" w:tentative="1">
      <w:start w:val="1"/>
      <w:numFmt w:val="bullet"/>
      <w:lvlText w:val=""/>
      <w:lvlJc w:val="left"/>
      <w:pPr>
        <w:tabs>
          <w:tab w:val="num" w:pos="1440"/>
        </w:tabs>
        <w:ind w:left="1440" w:hanging="360"/>
      </w:pPr>
      <w:rPr>
        <w:rFonts w:ascii="Wingdings" w:hAnsi="Wingdings" w:hint="default"/>
      </w:rPr>
    </w:lvl>
    <w:lvl w:ilvl="2" w:tplc="69DCB38A" w:tentative="1">
      <w:start w:val="1"/>
      <w:numFmt w:val="bullet"/>
      <w:lvlText w:val=""/>
      <w:lvlJc w:val="left"/>
      <w:pPr>
        <w:tabs>
          <w:tab w:val="num" w:pos="2160"/>
        </w:tabs>
        <w:ind w:left="2160" w:hanging="360"/>
      </w:pPr>
      <w:rPr>
        <w:rFonts w:ascii="Wingdings" w:hAnsi="Wingdings" w:hint="default"/>
      </w:rPr>
    </w:lvl>
    <w:lvl w:ilvl="3" w:tplc="317488B0" w:tentative="1">
      <w:start w:val="1"/>
      <w:numFmt w:val="bullet"/>
      <w:lvlText w:val=""/>
      <w:lvlJc w:val="left"/>
      <w:pPr>
        <w:tabs>
          <w:tab w:val="num" w:pos="2880"/>
        </w:tabs>
        <w:ind w:left="2880" w:hanging="360"/>
      </w:pPr>
      <w:rPr>
        <w:rFonts w:ascii="Wingdings" w:hAnsi="Wingdings" w:hint="default"/>
      </w:rPr>
    </w:lvl>
    <w:lvl w:ilvl="4" w:tplc="5016E2BE" w:tentative="1">
      <w:start w:val="1"/>
      <w:numFmt w:val="bullet"/>
      <w:lvlText w:val=""/>
      <w:lvlJc w:val="left"/>
      <w:pPr>
        <w:tabs>
          <w:tab w:val="num" w:pos="3600"/>
        </w:tabs>
        <w:ind w:left="3600" w:hanging="360"/>
      </w:pPr>
      <w:rPr>
        <w:rFonts w:ascii="Wingdings" w:hAnsi="Wingdings" w:hint="default"/>
      </w:rPr>
    </w:lvl>
    <w:lvl w:ilvl="5" w:tplc="4760BFE2" w:tentative="1">
      <w:start w:val="1"/>
      <w:numFmt w:val="bullet"/>
      <w:lvlText w:val=""/>
      <w:lvlJc w:val="left"/>
      <w:pPr>
        <w:tabs>
          <w:tab w:val="num" w:pos="4320"/>
        </w:tabs>
        <w:ind w:left="4320" w:hanging="360"/>
      </w:pPr>
      <w:rPr>
        <w:rFonts w:ascii="Wingdings" w:hAnsi="Wingdings" w:hint="default"/>
      </w:rPr>
    </w:lvl>
    <w:lvl w:ilvl="6" w:tplc="E74E1CC8" w:tentative="1">
      <w:start w:val="1"/>
      <w:numFmt w:val="bullet"/>
      <w:lvlText w:val=""/>
      <w:lvlJc w:val="left"/>
      <w:pPr>
        <w:tabs>
          <w:tab w:val="num" w:pos="5040"/>
        </w:tabs>
        <w:ind w:left="5040" w:hanging="360"/>
      </w:pPr>
      <w:rPr>
        <w:rFonts w:ascii="Wingdings" w:hAnsi="Wingdings" w:hint="default"/>
      </w:rPr>
    </w:lvl>
    <w:lvl w:ilvl="7" w:tplc="933AA218" w:tentative="1">
      <w:start w:val="1"/>
      <w:numFmt w:val="bullet"/>
      <w:lvlText w:val=""/>
      <w:lvlJc w:val="left"/>
      <w:pPr>
        <w:tabs>
          <w:tab w:val="num" w:pos="5760"/>
        </w:tabs>
        <w:ind w:left="5760" w:hanging="360"/>
      </w:pPr>
      <w:rPr>
        <w:rFonts w:ascii="Wingdings" w:hAnsi="Wingdings" w:hint="default"/>
      </w:rPr>
    </w:lvl>
    <w:lvl w:ilvl="8" w:tplc="F40E720C" w:tentative="1">
      <w:start w:val="1"/>
      <w:numFmt w:val="bullet"/>
      <w:lvlText w:val=""/>
      <w:lvlJc w:val="left"/>
      <w:pPr>
        <w:tabs>
          <w:tab w:val="num" w:pos="6480"/>
        </w:tabs>
        <w:ind w:left="6480" w:hanging="360"/>
      </w:pPr>
      <w:rPr>
        <w:rFonts w:ascii="Wingdings" w:hAnsi="Wingdings" w:hint="default"/>
      </w:rPr>
    </w:lvl>
  </w:abstractNum>
  <w:abstractNum w:abstractNumId="1">
    <w:nsid w:val="63450ADB"/>
    <w:multiLevelType w:val="hybridMultilevel"/>
    <w:tmpl w:val="0DC6D60A"/>
    <w:lvl w:ilvl="0" w:tplc="08090001">
      <w:start w:val="1"/>
      <w:numFmt w:val="bullet"/>
      <w:lvlText w:val=""/>
      <w:lvlJc w:val="left"/>
      <w:pPr>
        <w:tabs>
          <w:tab w:val="num" w:pos="780"/>
        </w:tabs>
        <w:ind w:left="780" w:hanging="360"/>
      </w:pPr>
      <w:rPr>
        <w:rFonts w:ascii="Symbol" w:hAnsi="Symbol" w:hint="default"/>
      </w:rPr>
    </w:lvl>
    <w:lvl w:ilvl="1" w:tplc="0408000F">
      <w:start w:val="1"/>
      <w:numFmt w:val="decimal"/>
      <w:lvlText w:val="%2."/>
      <w:lvlJc w:val="left"/>
      <w:pPr>
        <w:tabs>
          <w:tab w:val="num" w:pos="1500"/>
        </w:tabs>
        <w:ind w:left="150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8B"/>
    <w:rsid w:val="00620D40"/>
    <w:rsid w:val="00674E8B"/>
    <w:rsid w:val="00BF0814"/>
    <w:rsid w:val="00C31DB0"/>
    <w:rsid w:val="00EF23B0"/>
    <w:rsid w:val="00F07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75088-CFA2-485F-91DC-B326C02E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E8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4E8B"/>
    <w:pPr>
      <w:tabs>
        <w:tab w:val="center" w:pos="4153"/>
        <w:tab w:val="right" w:pos="8306"/>
      </w:tabs>
    </w:pPr>
  </w:style>
  <w:style w:type="character" w:customStyle="1" w:styleId="HeaderChar">
    <w:name w:val="Header Char"/>
    <w:basedOn w:val="DefaultParagraphFont"/>
    <w:link w:val="Header"/>
    <w:rsid w:val="00674E8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Demetriou</dc:creator>
  <cp:keywords/>
  <dc:description/>
  <cp:lastModifiedBy>Anastasia Cleanthous</cp:lastModifiedBy>
  <cp:revision>2</cp:revision>
  <dcterms:created xsi:type="dcterms:W3CDTF">2014-05-21T08:14:00Z</dcterms:created>
  <dcterms:modified xsi:type="dcterms:W3CDTF">2014-05-21T08:14:00Z</dcterms:modified>
</cp:coreProperties>
</file>